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69" w:rsidRDefault="009F3069" w:rsidP="00935AF0">
      <w:pPr>
        <w:spacing w:line="360" w:lineRule="exact"/>
        <w:jc w:val="center"/>
        <w:rPr>
          <w:rFonts w:ascii="標楷體" w:eastAsia="標楷體" w:hAnsi="標楷體" w:cs="Times New Roman" w:hint="eastAsia"/>
          <w:b/>
          <w:sz w:val="36"/>
          <w:szCs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C87BC" wp14:editId="25F0231F">
                <wp:simplePos x="0" y="0"/>
                <wp:positionH relativeFrom="column">
                  <wp:posOffset>274955</wp:posOffset>
                </wp:positionH>
                <wp:positionV relativeFrom="paragraph">
                  <wp:posOffset>44450</wp:posOffset>
                </wp:positionV>
                <wp:extent cx="5939155" cy="2534285"/>
                <wp:effectExtent l="0" t="0" r="23495" b="18415"/>
                <wp:wrapTopAndBottom/>
                <wp:docPr id="1" name="矩形 1455582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2534285"/>
                        </a:xfrm>
                        <a:prstGeom prst="rect">
                          <a:avLst/>
                        </a:prstGeom>
                        <a:noFill/>
                        <a:ln w="6345">
                          <a:solidFill>
                            <a:srgbClr val="FF0000"/>
                          </a:solidFill>
                          <a:custDash>
                            <a:ds d="300173" sp="300173"/>
                          </a:custDash>
                          <a:miter/>
                        </a:ln>
                      </wps:spPr>
                      <wps:txbx>
                        <w:txbxContent>
                          <w:p w:rsidR="009F3069" w:rsidRDefault="009F3069" w:rsidP="009F3069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桃園市政府教育局所屬學校</w:t>
                            </w:r>
                          </w:p>
                          <w:p w:rsidR="009F3069" w:rsidRDefault="009F3069" w:rsidP="009F3069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招標文件參考案例注意事項</w:t>
                            </w:r>
                          </w:p>
                          <w:p w:rsidR="009F3069" w:rsidRDefault="009F3069" w:rsidP="009F3069">
                            <w:pPr>
                              <w:spacing w:line="400" w:lineRule="exact"/>
                              <w:ind w:left="283" w:hanging="283"/>
                              <w:jc w:val="both"/>
                              <w:rPr>
                                <w:rFonts w:eastAsia="標楷體" w:hint="eastAsia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eastAsia="標楷體"/>
                                <w:i/>
                                <w:color w:val="FF0000"/>
                              </w:rPr>
                              <w:t>注意事項說明如下：</w:t>
                            </w:r>
                          </w:p>
                          <w:p w:rsidR="009F3069" w:rsidRDefault="009F3069" w:rsidP="009F3069">
                            <w:pPr>
                              <w:numPr>
                                <w:ilvl w:val="0"/>
                                <w:numId w:val="2"/>
                              </w:numPr>
                              <w:autoSpaceDN w:val="0"/>
                              <w:snapToGrid w:val="0"/>
                              <w:spacing w:line="400" w:lineRule="atLeast"/>
                              <w:ind w:left="357" w:hanging="357"/>
                              <w:rPr>
                                <w:rFonts w:eastAsia="標楷體" w:hint="eastAsia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eastAsia="標楷體"/>
                                <w:i/>
                                <w:color w:val="FF0000"/>
                              </w:rPr>
                              <w:t>辦理採購時，應確認以行政院公共工程委員會頒布之招標文件最新版本製作，以免誤用過時之版本。</w:t>
                            </w:r>
                          </w:p>
                          <w:p w:rsidR="009F3069" w:rsidRDefault="009F3069" w:rsidP="009F3069">
                            <w:pPr>
                              <w:numPr>
                                <w:ilvl w:val="0"/>
                                <w:numId w:val="2"/>
                              </w:numPr>
                              <w:autoSpaceDN w:val="0"/>
                              <w:snapToGrid w:val="0"/>
                              <w:spacing w:line="400" w:lineRule="atLeast"/>
                              <w:ind w:left="357" w:hanging="357"/>
                              <w:rPr>
                                <w:rFonts w:eastAsia="標楷體" w:hint="eastAsia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eastAsia="標楷體"/>
                                <w:i/>
                                <w:color w:val="FF0000"/>
                              </w:rPr>
                              <w:t>本案例僅供參考，學校辦理採購應視個案之特性及實際需要，修改本參考案例後再行利用。不得未經檢討，即</w:t>
                            </w:r>
                            <w:proofErr w:type="gramStart"/>
                            <w:r>
                              <w:rPr>
                                <w:rFonts w:eastAsia="標楷體"/>
                                <w:i/>
                                <w:color w:val="FF0000"/>
                              </w:rPr>
                              <w:t>逕</w:t>
                            </w:r>
                            <w:bookmarkStart w:id="0" w:name="_GoBack"/>
                            <w:bookmarkEnd w:id="0"/>
                            <w:proofErr w:type="gramEnd"/>
                            <w:r>
                              <w:rPr>
                                <w:rFonts w:eastAsia="標楷體"/>
                                <w:i/>
                                <w:color w:val="FF0000"/>
                              </w:rPr>
                              <w:t>予採用。</w:t>
                            </w:r>
                          </w:p>
                          <w:p w:rsidR="009F3069" w:rsidRDefault="009F3069" w:rsidP="009F3069">
                            <w:pPr>
                              <w:numPr>
                                <w:ilvl w:val="0"/>
                                <w:numId w:val="2"/>
                              </w:numPr>
                              <w:autoSpaceDN w:val="0"/>
                              <w:snapToGrid w:val="0"/>
                              <w:spacing w:line="400" w:lineRule="atLeast"/>
                              <w:ind w:left="357" w:hanging="357"/>
                              <w:rPr>
                                <w:rFonts w:eastAsia="標楷體" w:hint="eastAsia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eastAsia="標楷體"/>
                                <w:i/>
                                <w:color w:val="FF0000"/>
                              </w:rPr>
                              <w:t>本參考案例之條文內容，亦得增刪。</w:t>
                            </w:r>
                          </w:p>
                          <w:p w:rsidR="009F3069" w:rsidRDefault="009F3069" w:rsidP="009F3069">
                            <w:pPr>
                              <w:numPr>
                                <w:ilvl w:val="0"/>
                                <w:numId w:val="2"/>
                              </w:numPr>
                              <w:autoSpaceDN w:val="0"/>
                              <w:snapToGrid w:val="0"/>
                              <w:spacing w:line="400" w:lineRule="atLeast"/>
                              <w:ind w:left="357" w:hanging="357"/>
                            </w:pPr>
                            <w:r>
                              <w:rPr>
                                <w:rFonts w:eastAsia="標楷體"/>
                                <w:i/>
                                <w:color w:val="FF0000"/>
                              </w:rPr>
                              <w:t>相關法令如有異動時，亦應逕行修正本參考案例之內容。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1455582024" o:spid="_x0000_s1026" style="position:absolute;left:0;text-align:left;margin-left:21.65pt;margin-top:3.5pt;width:467.65pt;height:19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" filled="f" strokecolor="red" strokeweight=".17625mm">
                <v:textbox>
                  <w:txbxContent>
                    <w:p w:rsidR="009F3069" w:rsidRDefault="009F3069" w:rsidP="009F3069">
                      <w:pPr>
                        <w:snapToGrid w:val="0"/>
                        <w:spacing w:line="276" w:lineRule="auto"/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</w:rPr>
                        <w:t>桃園市政府教育局所屬學校</w:t>
                      </w:r>
                    </w:p>
                    <w:p w:rsidR="009F3069" w:rsidRDefault="009F3069" w:rsidP="009F3069">
                      <w:pPr>
                        <w:snapToGrid w:val="0"/>
                        <w:spacing w:line="276" w:lineRule="auto"/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</w:rPr>
                        <w:t>招標文件參考案例注意事項</w:t>
                      </w:r>
                    </w:p>
                    <w:p w:rsidR="009F3069" w:rsidRDefault="009F3069" w:rsidP="009F3069">
                      <w:pPr>
                        <w:spacing w:line="400" w:lineRule="exact"/>
                        <w:ind w:left="283" w:hanging="283"/>
                        <w:jc w:val="both"/>
                        <w:rPr>
                          <w:rFonts w:eastAsia="標楷體" w:hint="eastAsia"/>
                          <w:i/>
                          <w:color w:val="FF0000"/>
                        </w:rPr>
                      </w:pPr>
                      <w:r>
                        <w:rPr>
                          <w:rFonts w:eastAsia="標楷體"/>
                          <w:i/>
                          <w:color w:val="FF0000"/>
                        </w:rPr>
                        <w:t>注意事項說明如下：</w:t>
                      </w:r>
                    </w:p>
                    <w:p w:rsidR="009F3069" w:rsidRDefault="009F3069" w:rsidP="009F3069">
                      <w:pPr>
                        <w:numPr>
                          <w:ilvl w:val="0"/>
                          <w:numId w:val="2"/>
                        </w:numPr>
                        <w:autoSpaceDN w:val="0"/>
                        <w:snapToGrid w:val="0"/>
                        <w:spacing w:line="400" w:lineRule="atLeast"/>
                        <w:ind w:left="357" w:hanging="357"/>
                        <w:rPr>
                          <w:rFonts w:eastAsia="標楷體" w:hint="eastAsia"/>
                          <w:i/>
                          <w:color w:val="FF0000"/>
                        </w:rPr>
                      </w:pPr>
                      <w:r>
                        <w:rPr>
                          <w:rFonts w:eastAsia="標楷體"/>
                          <w:i/>
                          <w:color w:val="FF0000"/>
                        </w:rPr>
                        <w:t>辦理採購時，應確認以行政院公共工程委員會頒布之招標文件最新版本製作，以免誤用過時之版本。</w:t>
                      </w:r>
                    </w:p>
                    <w:p w:rsidR="009F3069" w:rsidRDefault="009F3069" w:rsidP="009F3069">
                      <w:pPr>
                        <w:numPr>
                          <w:ilvl w:val="0"/>
                          <w:numId w:val="2"/>
                        </w:numPr>
                        <w:autoSpaceDN w:val="0"/>
                        <w:snapToGrid w:val="0"/>
                        <w:spacing w:line="400" w:lineRule="atLeast"/>
                        <w:ind w:left="357" w:hanging="357"/>
                        <w:rPr>
                          <w:rFonts w:eastAsia="標楷體" w:hint="eastAsia"/>
                          <w:i/>
                          <w:color w:val="FF0000"/>
                        </w:rPr>
                      </w:pPr>
                      <w:r>
                        <w:rPr>
                          <w:rFonts w:eastAsia="標楷體"/>
                          <w:i/>
                          <w:color w:val="FF0000"/>
                        </w:rPr>
                        <w:t>本案例僅供參考，學校辦理採購應視個案之特性及實際需要，修改本參考案例後再行利用。不得未經檢討，即</w:t>
                      </w:r>
                      <w:proofErr w:type="gramStart"/>
                      <w:r>
                        <w:rPr>
                          <w:rFonts w:eastAsia="標楷體"/>
                          <w:i/>
                          <w:color w:val="FF0000"/>
                        </w:rPr>
                        <w:t>逕</w:t>
                      </w:r>
                      <w:bookmarkStart w:id="1" w:name="_GoBack"/>
                      <w:bookmarkEnd w:id="1"/>
                      <w:proofErr w:type="gramEnd"/>
                      <w:r>
                        <w:rPr>
                          <w:rFonts w:eastAsia="標楷體"/>
                          <w:i/>
                          <w:color w:val="FF0000"/>
                        </w:rPr>
                        <w:t>予採用。</w:t>
                      </w:r>
                    </w:p>
                    <w:p w:rsidR="009F3069" w:rsidRDefault="009F3069" w:rsidP="009F3069">
                      <w:pPr>
                        <w:numPr>
                          <w:ilvl w:val="0"/>
                          <w:numId w:val="2"/>
                        </w:numPr>
                        <w:autoSpaceDN w:val="0"/>
                        <w:snapToGrid w:val="0"/>
                        <w:spacing w:line="400" w:lineRule="atLeast"/>
                        <w:ind w:left="357" w:hanging="357"/>
                        <w:rPr>
                          <w:rFonts w:eastAsia="標楷體" w:hint="eastAsia"/>
                          <w:i/>
                          <w:color w:val="FF0000"/>
                        </w:rPr>
                      </w:pPr>
                      <w:r>
                        <w:rPr>
                          <w:rFonts w:eastAsia="標楷體"/>
                          <w:i/>
                          <w:color w:val="FF0000"/>
                        </w:rPr>
                        <w:t>本參考案例之條文內容，亦得增刪。</w:t>
                      </w:r>
                    </w:p>
                    <w:p w:rsidR="009F3069" w:rsidRDefault="009F3069" w:rsidP="009F3069">
                      <w:pPr>
                        <w:numPr>
                          <w:ilvl w:val="0"/>
                          <w:numId w:val="2"/>
                        </w:numPr>
                        <w:autoSpaceDN w:val="0"/>
                        <w:snapToGrid w:val="0"/>
                        <w:spacing w:line="400" w:lineRule="atLeast"/>
                        <w:ind w:left="357" w:hanging="357"/>
                      </w:pPr>
                      <w:r>
                        <w:rPr>
                          <w:rFonts w:eastAsia="標楷體"/>
                          <w:i/>
                          <w:color w:val="FF0000"/>
                        </w:rPr>
                        <w:t>相關法令如有異動時，亦應逕行修正本參考案例之內容。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935AF0" w:rsidRPr="00935AF0" w:rsidRDefault="00935AF0" w:rsidP="00935AF0">
      <w:pPr>
        <w:spacing w:line="36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935AF0">
        <w:rPr>
          <w:rFonts w:ascii="標楷體" w:eastAsia="標楷體" w:hAnsi="標楷體" w:cs="Times New Roman" w:hint="eastAsia"/>
          <w:b/>
          <w:sz w:val="36"/>
          <w:szCs w:val="36"/>
        </w:rPr>
        <w:t>桃園市</w:t>
      </w:r>
      <w:r w:rsidRPr="0007161E">
        <w:rPr>
          <w:rFonts w:ascii="標楷體" w:eastAsia="標楷體" w:hAnsi="標楷體" w:cs="Times New Roman" w:hint="eastAsia"/>
          <w:b/>
          <w:strike/>
          <w:color w:val="FF0000"/>
          <w:sz w:val="36"/>
          <w:szCs w:val="36"/>
        </w:rPr>
        <w:t>大溪</w:t>
      </w:r>
      <w:r w:rsidR="0007161E" w:rsidRPr="0007161E">
        <w:rPr>
          <w:rFonts w:ascii="標楷體" w:eastAsia="標楷體" w:hAnsi="標楷體" w:cs="Times New Roman" w:hint="eastAsia"/>
          <w:b/>
          <w:color w:val="FF0000"/>
          <w:sz w:val="36"/>
          <w:szCs w:val="36"/>
        </w:rPr>
        <w:t>OO</w:t>
      </w:r>
      <w:r w:rsidRPr="00935AF0">
        <w:rPr>
          <w:rFonts w:ascii="標楷體" w:eastAsia="標楷體" w:hAnsi="標楷體" w:cs="Times New Roman" w:hint="eastAsia"/>
          <w:b/>
          <w:sz w:val="36"/>
          <w:szCs w:val="36"/>
        </w:rPr>
        <w:t>區</w:t>
      </w:r>
      <w:r w:rsidRPr="0007161E">
        <w:rPr>
          <w:rFonts w:ascii="標楷體" w:eastAsia="標楷體" w:hAnsi="標楷體" w:cs="Times New Roman" w:hint="eastAsia"/>
          <w:b/>
          <w:strike/>
          <w:color w:val="FF0000"/>
          <w:sz w:val="36"/>
          <w:szCs w:val="36"/>
        </w:rPr>
        <w:t>仁和</w:t>
      </w:r>
      <w:r w:rsidR="0007161E" w:rsidRPr="0007161E">
        <w:rPr>
          <w:rFonts w:ascii="標楷體" w:eastAsia="標楷體" w:hAnsi="標楷體" w:cs="Times New Roman" w:hint="eastAsia"/>
          <w:b/>
          <w:color w:val="FF0000"/>
          <w:sz w:val="36"/>
          <w:szCs w:val="36"/>
        </w:rPr>
        <w:t>OO</w:t>
      </w:r>
      <w:r w:rsidRPr="0007161E">
        <w:rPr>
          <w:rFonts w:ascii="標楷體" w:eastAsia="標楷體" w:hAnsi="標楷體" w:cs="Times New Roman" w:hint="eastAsia"/>
          <w:b/>
          <w:color w:val="FF0000"/>
          <w:sz w:val="36"/>
          <w:szCs w:val="36"/>
        </w:rPr>
        <w:t>國民小學</w:t>
      </w:r>
    </w:p>
    <w:p w:rsidR="009D3A31" w:rsidRDefault="00935AF0" w:rsidP="009D3A31">
      <w:pPr>
        <w:spacing w:line="400" w:lineRule="exact"/>
        <w:ind w:left="1417" w:hangingChars="506" w:hanging="1417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 w:rsidRPr="00935AF0">
        <w:rPr>
          <w:rFonts w:ascii="標楷體" w:eastAsia="標楷體" w:hAnsi="標楷體" w:cs="Times New Roman" w:hint="eastAsia"/>
          <w:sz w:val="28"/>
          <w:szCs w:val="28"/>
        </w:rPr>
        <w:t>標案名稱：</w:t>
      </w:r>
      <w:r w:rsidR="009D3A31">
        <w:rPr>
          <w:rFonts w:ascii="標楷體" w:eastAsia="標楷體" w:hAnsi="標楷體" w:hint="eastAsia"/>
          <w:b/>
          <w:color w:val="FF0000"/>
          <w:sz w:val="30"/>
          <w:szCs w:val="30"/>
        </w:rPr>
        <w:t>桃園市</w:t>
      </w:r>
      <w:r w:rsidR="009D3A31" w:rsidRPr="0007161E">
        <w:rPr>
          <w:rFonts w:ascii="標楷體" w:eastAsia="標楷體" w:hAnsi="標楷體" w:hint="eastAsia"/>
          <w:b/>
          <w:strike/>
          <w:color w:val="FF0000"/>
          <w:sz w:val="30"/>
          <w:szCs w:val="30"/>
        </w:rPr>
        <w:t>大溪</w:t>
      </w:r>
      <w:r w:rsidR="0007161E">
        <w:rPr>
          <w:rFonts w:ascii="標楷體" w:eastAsia="標楷體" w:hAnsi="標楷體" w:hint="eastAsia"/>
          <w:b/>
          <w:color w:val="FF0000"/>
          <w:sz w:val="30"/>
          <w:szCs w:val="30"/>
        </w:rPr>
        <w:t>OO</w:t>
      </w:r>
      <w:r w:rsidR="009D3A31">
        <w:rPr>
          <w:rFonts w:ascii="標楷體" w:eastAsia="標楷體" w:hAnsi="標楷體" w:hint="eastAsia"/>
          <w:b/>
          <w:color w:val="FF0000"/>
          <w:sz w:val="30"/>
          <w:szCs w:val="30"/>
        </w:rPr>
        <w:t>幼兒園</w:t>
      </w:r>
      <w:r w:rsidR="009D3A31" w:rsidRPr="00A06AF5">
        <w:rPr>
          <w:rFonts w:ascii="標楷體" w:eastAsia="標楷體" w:hAnsi="標楷體" w:hint="eastAsia"/>
          <w:b/>
          <w:color w:val="FF0000"/>
          <w:sz w:val="30"/>
          <w:szCs w:val="30"/>
        </w:rPr>
        <w:t>新建公共化幼兒園工程委託</w:t>
      </w:r>
      <w:r w:rsidR="009D3A31">
        <w:rPr>
          <w:rFonts w:ascii="標楷體" w:eastAsia="標楷體" w:hAnsi="標楷體" w:hint="eastAsia"/>
          <w:b/>
          <w:color w:val="FF0000"/>
          <w:sz w:val="30"/>
          <w:szCs w:val="30"/>
        </w:rPr>
        <w:t>規劃</w:t>
      </w:r>
      <w:r w:rsidR="009D3A31" w:rsidRPr="00A06AF5">
        <w:rPr>
          <w:rFonts w:ascii="標楷體" w:eastAsia="標楷體" w:hAnsi="標楷體" w:hint="eastAsia"/>
          <w:b/>
          <w:color w:val="FF0000"/>
          <w:sz w:val="30"/>
          <w:szCs w:val="30"/>
        </w:rPr>
        <w:t>設計監造技術服務勞務採購案</w:t>
      </w:r>
      <w:r w:rsidRPr="00935AF0">
        <w:rPr>
          <w:rFonts w:ascii="標楷體" w:eastAsia="標楷體" w:hAnsi="標楷體" w:cs="Times New Roman"/>
          <w:bCs/>
          <w:color w:val="000000"/>
          <w:sz w:val="28"/>
          <w:szCs w:val="28"/>
        </w:rPr>
        <w:t xml:space="preserve">     </w:t>
      </w:r>
    </w:p>
    <w:p w:rsidR="00935AF0" w:rsidRPr="00935AF0" w:rsidRDefault="00935AF0" w:rsidP="00935AF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935AF0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標案</w:t>
      </w:r>
      <w:proofErr w:type="gramStart"/>
      <w:r w:rsidRPr="00935AF0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案</w:t>
      </w:r>
      <w:proofErr w:type="gramEnd"/>
      <w:r w:rsidRPr="00935AF0">
        <w:rPr>
          <w:rFonts w:ascii="標楷體" w:eastAsia="標楷體" w:hAnsi="標楷體" w:cs="Times New Roman" w:hint="eastAsia"/>
          <w:sz w:val="28"/>
          <w:szCs w:val="28"/>
        </w:rPr>
        <w:t>號：</w:t>
      </w:r>
      <w:r w:rsidRPr="0007161E">
        <w:rPr>
          <w:rFonts w:ascii="標楷體" w:eastAsia="標楷體" w:hAnsi="標楷體" w:cs="Times New Roman" w:hint="eastAsia"/>
          <w:b/>
          <w:strike/>
          <w:color w:val="FF0000"/>
          <w:sz w:val="28"/>
          <w:szCs w:val="28"/>
        </w:rPr>
        <w:t>111</w:t>
      </w:r>
      <w:r w:rsidR="009D3A31" w:rsidRPr="0007161E">
        <w:rPr>
          <w:rFonts w:ascii="標楷體" w:eastAsia="標楷體" w:hAnsi="標楷體" w:cs="Times New Roman" w:hint="eastAsia"/>
          <w:b/>
          <w:strike/>
          <w:color w:val="FF0000"/>
          <w:sz w:val="28"/>
          <w:szCs w:val="28"/>
        </w:rPr>
        <w:t>10</w:t>
      </w:r>
    </w:p>
    <w:p w:rsidR="00FF0261" w:rsidRPr="00D765F5" w:rsidRDefault="00D765F5" w:rsidP="00D765F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D765F5">
        <w:rPr>
          <w:rFonts w:ascii="標楷體" w:eastAsia="標楷體" w:hAnsi="標楷體" w:hint="eastAsia"/>
          <w:b/>
          <w:sz w:val="40"/>
          <w:szCs w:val="40"/>
        </w:rPr>
        <w:t>服務</w:t>
      </w:r>
      <w:r w:rsidR="009D3A31">
        <w:rPr>
          <w:rFonts w:ascii="標楷體" w:eastAsia="標楷體" w:hAnsi="標楷體" w:hint="eastAsia"/>
          <w:b/>
          <w:sz w:val="40"/>
          <w:szCs w:val="40"/>
        </w:rPr>
        <w:t>建議</w:t>
      </w:r>
      <w:r w:rsidRPr="00D765F5">
        <w:rPr>
          <w:rFonts w:ascii="標楷體" w:eastAsia="標楷體" w:hAnsi="標楷體" w:hint="eastAsia"/>
          <w:b/>
          <w:sz w:val="40"/>
          <w:szCs w:val="40"/>
        </w:rPr>
        <w:t>書重點整理表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3118"/>
        <w:gridCol w:w="5670"/>
      </w:tblGrid>
      <w:tr w:rsidR="000C4C04" w:rsidRPr="00935AF0" w:rsidTr="00691C77">
        <w:trPr>
          <w:cantSplit/>
          <w:trHeight w:val="730"/>
          <w:jc w:val="center"/>
        </w:trPr>
        <w:tc>
          <w:tcPr>
            <w:tcW w:w="1555" w:type="dxa"/>
            <w:vAlign w:val="center"/>
          </w:tcPr>
          <w:p w:rsidR="000C4C04" w:rsidRPr="00935AF0" w:rsidRDefault="000C4C04" w:rsidP="005E7D9C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35AF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評</w:t>
            </w:r>
            <w:r w:rsidR="005E7D9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選</w:t>
            </w:r>
            <w:r w:rsidRPr="00935AF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3118" w:type="dxa"/>
            <w:vAlign w:val="center"/>
          </w:tcPr>
          <w:p w:rsidR="000C4C04" w:rsidRPr="00935AF0" w:rsidRDefault="000C4C04" w:rsidP="005E7D9C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proofErr w:type="gramStart"/>
            <w:r w:rsidRPr="00935AF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評</w:t>
            </w:r>
            <w:r w:rsidR="005E7D9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選</w:t>
            </w:r>
            <w:r w:rsidRPr="00935AF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子項</w:t>
            </w:r>
            <w:proofErr w:type="gramEnd"/>
          </w:p>
        </w:tc>
        <w:tc>
          <w:tcPr>
            <w:tcW w:w="5670" w:type="dxa"/>
            <w:vAlign w:val="center"/>
          </w:tcPr>
          <w:p w:rsidR="000C4C04" w:rsidRPr="00935AF0" w:rsidRDefault="000C4C04" w:rsidP="00935AF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服務</w:t>
            </w:r>
            <w:r w:rsidR="009D3A3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建議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書重點整理(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可條列式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</w:tr>
      <w:tr w:rsidR="00691C77" w:rsidRPr="00935AF0" w:rsidTr="00691C77">
        <w:trPr>
          <w:cantSplit/>
          <w:trHeight w:val="939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691C77" w:rsidRPr="005E7D9C" w:rsidRDefault="00691C77" w:rsidP="00691C77">
            <w:pPr>
              <w:spacing w:line="280" w:lineRule="exact"/>
              <w:jc w:val="center"/>
              <w:rPr>
                <w:rFonts w:eastAsia="標楷體" w:hAnsi="標楷體"/>
                <w:b/>
                <w:szCs w:val="24"/>
              </w:rPr>
            </w:pPr>
            <w:r w:rsidRPr="005E7D9C">
              <w:rPr>
                <w:rFonts w:eastAsia="標楷體" w:hAnsi="標楷體" w:hint="eastAsia"/>
                <w:b/>
                <w:szCs w:val="24"/>
              </w:rPr>
              <w:t>執行團隊成員</w:t>
            </w:r>
          </w:p>
          <w:p w:rsidR="00691C77" w:rsidRPr="005E7D9C" w:rsidRDefault="00691C77" w:rsidP="00691C77">
            <w:pPr>
              <w:spacing w:line="280" w:lineRule="exact"/>
              <w:jc w:val="center"/>
              <w:rPr>
                <w:rFonts w:eastAsia="標楷體" w:hAnsi="標楷體"/>
                <w:b/>
                <w:szCs w:val="24"/>
              </w:rPr>
            </w:pPr>
            <w:r w:rsidRPr="005E7D9C">
              <w:rPr>
                <w:rFonts w:eastAsia="標楷體" w:hAnsi="標楷體" w:hint="eastAsia"/>
                <w:b/>
                <w:szCs w:val="24"/>
              </w:rPr>
              <w:t>與相關代表作</w:t>
            </w:r>
          </w:p>
          <w:p w:rsidR="00691C77" w:rsidRPr="005E7D9C" w:rsidRDefault="00691C77" w:rsidP="00691C77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5E7D9C">
              <w:rPr>
                <w:rFonts w:eastAsia="標楷體" w:hAnsi="標楷體" w:hint="eastAsia"/>
                <w:b/>
                <w:szCs w:val="24"/>
              </w:rPr>
              <w:t>10%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77" w:rsidRPr="00691C77" w:rsidRDefault="00691C77" w:rsidP="00691C77">
            <w:pPr>
              <w:spacing w:line="2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691C77">
              <w:rPr>
                <w:rFonts w:ascii="標楷體" w:eastAsia="標楷體" w:hAnsi="標楷體" w:cs="Arial" w:hint="eastAsia"/>
                <w:szCs w:val="24"/>
              </w:rPr>
              <w:t>投標簡介及承辦業績(對本案提供之有利條件及特色；投標廠商之工作經驗或實績</w:t>
            </w:r>
            <w:proofErr w:type="gramStart"/>
            <w:r w:rsidRPr="00691C77">
              <w:rPr>
                <w:rFonts w:ascii="標楷體" w:eastAsia="標楷體" w:hAnsi="標楷體" w:cs="Arial" w:hint="eastAsia"/>
                <w:szCs w:val="24"/>
              </w:rPr>
              <w:t>）</w:t>
            </w:r>
            <w:proofErr w:type="gramEnd"/>
          </w:p>
        </w:tc>
        <w:tc>
          <w:tcPr>
            <w:tcW w:w="5670" w:type="dxa"/>
          </w:tcPr>
          <w:p w:rsidR="00691C77" w:rsidRPr="00935AF0" w:rsidRDefault="00691C77" w:rsidP="00691C77">
            <w:pPr>
              <w:adjustRightInd w:val="0"/>
              <w:snapToGrid w:val="0"/>
              <w:spacing w:line="360" w:lineRule="exact"/>
              <w:textAlignment w:val="baseline"/>
              <w:rPr>
                <w:rFonts w:ascii="標楷體" w:eastAsia="標楷體" w:hAnsi="標楷體" w:cs="Arial"/>
                <w:b/>
                <w:color w:val="000000"/>
                <w:szCs w:val="20"/>
              </w:rPr>
            </w:pPr>
          </w:p>
        </w:tc>
      </w:tr>
      <w:tr w:rsidR="00691C77" w:rsidRPr="00935AF0" w:rsidTr="00691C77">
        <w:trPr>
          <w:cantSplit/>
          <w:trHeight w:val="1832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691C77" w:rsidRPr="005E7D9C" w:rsidRDefault="00691C77" w:rsidP="00691C77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5E7D9C">
              <w:rPr>
                <w:rFonts w:eastAsia="標楷體" w:hint="eastAsia"/>
                <w:b/>
                <w:szCs w:val="24"/>
              </w:rPr>
              <w:t>工作計劃執行策略</w:t>
            </w:r>
          </w:p>
          <w:p w:rsidR="00691C77" w:rsidRPr="005E7D9C" w:rsidRDefault="00691C77" w:rsidP="00691C77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5E7D9C">
              <w:rPr>
                <w:rFonts w:eastAsia="標楷體" w:hint="eastAsia"/>
                <w:b/>
                <w:szCs w:val="24"/>
              </w:rPr>
              <w:t>15%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77" w:rsidRDefault="00691C77" w:rsidP="00691C77">
            <w:pPr>
              <w:spacing w:line="2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691C77">
              <w:rPr>
                <w:rFonts w:ascii="標楷體" w:eastAsia="標楷體" w:hAnsi="標楷體" w:cs="Arial" w:hint="eastAsia"/>
                <w:szCs w:val="24"/>
              </w:rPr>
              <w:t>1.規劃設計工作</w:t>
            </w:r>
            <w:proofErr w:type="gramStart"/>
            <w:r w:rsidRPr="00691C77">
              <w:rPr>
                <w:rFonts w:ascii="標楷體" w:eastAsia="標楷體" w:hAnsi="標楷體" w:cs="Arial" w:hint="eastAsia"/>
                <w:szCs w:val="24"/>
              </w:rPr>
              <w:t>時程能符合</w:t>
            </w:r>
            <w:proofErr w:type="gramEnd"/>
            <w:r w:rsidRPr="00691C77">
              <w:rPr>
                <w:rFonts w:ascii="標楷體" w:eastAsia="標楷體" w:hAnsi="標楷體" w:cs="Arial" w:hint="eastAsia"/>
                <w:szCs w:val="24"/>
              </w:rPr>
              <w:t>本校營建時程</w:t>
            </w:r>
          </w:p>
          <w:p w:rsidR="00691C77" w:rsidRPr="00691C77" w:rsidRDefault="00691C77" w:rsidP="00691C77">
            <w:pPr>
              <w:spacing w:line="2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691C77">
              <w:rPr>
                <w:rFonts w:ascii="標楷體" w:eastAsia="標楷體" w:hAnsi="標楷體" w:cs="Arial" w:hint="eastAsia"/>
                <w:szCs w:val="24"/>
              </w:rPr>
              <w:t>2.監造及品管作業。</w:t>
            </w:r>
          </w:p>
          <w:p w:rsidR="00691C77" w:rsidRPr="00691C77" w:rsidRDefault="00691C77" w:rsidP="00691C77">
            <w:pPr>
              <w:spacing w:line="2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691C77">
              <w:rPr>
                <w:rFonts w:ascii="標楷體" w:eastAsia="標楷體" w:hAnsi="標楷體" w:cs="Arial" w:hint="eastAsia"/>
                <w:szCs w:val="24"/>
              </w:rPr>
              <w:t>3.現場人員派遣計畫。</w:t>
            </w:r>
          </w:p>
          <w:p w:rsidR="00691C77" w:rsidRPr="00691C77" w:rsidRDefault="00691C77" w:rsidP="00691C77">
            <w:pPr>
              <w:spacing w:line="2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691C77">
              <w:rPr>
                <w:rFonts w:ascii="標楷體" w:eastAsia="標楷體" w:hAnsi="標楷體" w:cs="Arial" w:hint="eastAsia"/>
                <w:szCs w:val="24"/>
              </w:rPr>
              <w:t>4.服務建議書之完整性、可行性及營建</w:t>
            </w:r>
            <w:proofErr w:type="gramStart"/>
            <w:r w:rsidRPr="00691C77">
              <w:rPr>
                <w:rFonts w:ascii="標楷體" w:eastAsia="標楷體" w:hAnsi="標楷體" w:cs="Arial" w:hint="eastAsia"/>
                <w:szCs w:val="24"/>
              </w:rPr>
              <w:t>規</w:t>
            </w:r>
            <w:proofErr w:type="gramEnd"/>
            <w:r w:rsidRPr="00691C77">
              <w:rPr>
                <w:rFonts w:ascii="標楷體" w:eastAsia="標楷體" w:hAnsi="標楷體" w:cs="Arial" w:hint="eastAsia"/>
                <w:szCs w:val="24"/>
              </w:rPr>
              <w:t>畫分析之擬定與完整性對本案之了解。</w:t>
            </w:r>
          </w:p>
        </w:tc>
        <w:tc>
          <w:tcPr>
            <w:tcW w:w="5670" w:type="dxa"/>
          </w:tcPr>
          <w:p w:rsidR="00691C77" w:rsidRPr="00935AF0" w:rsidRDefault="00691C77" w:rsidP="00691C77">
            <w:pPr>
              <w:adjustRightInd w:val="0"/>
              <w:snapToGrid w:val="0"/>
              <w:spacing w:line="360" w:lineRule="exact"/>
              <w:textAlignment w:val="baseline"/>
              <w:rPr>
                <w:rFonts w:ascii="標楷體" w:eastAsia="標楷體" w:hAnsi="標楷體" w:cs="Arial"/>
                <w:b/>
                <w:color w:val="000000"/>
                <w:szCs w:val="20"/>
              </w:rPr>
            </w:pPr>
          </w:p>
        </w:tc>
      </w:tr>
      <w:tr w:rsidR="00691C77" w:rsidRPr="00935AF0" w:rsidTr="00691C77">
        <w:trPr>
          <w:cantSplit/>
          <w:trHeight w:val="254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691C77" w:rsidRPr="005E7D9C" w:rsidRDefault="00691C77" w:rsidP="00691C77">
            <w:pPr>
              <w:spacing w:line="280" w:lineRule="exact"/>
              <w:jc w:val="center"/>
              <w:rPr>
                <w:rFonts w:eastAsia="標楷體" w:hAnsi="標楷體"/>
                <w:b/>
                <w:szCs w:val="24"/>
              </w:rPr>
            </w:pPr>
            <w:r w:rsidRPr="005E7D9C">
              <w:rPr>
                <w:rFonts w:eastAsia="標楷體" w:hAnsi="標楷體" w:hint="eastAsia"/>
                <w:b/>
                <w:szCs w:val="24"/>
              </w:rPr>
              <w:t>規劃設計課題之掌握</w:t>
            </w:r>
          </w:p>
          <w:p w:rsidR="00691C77" w:rsidRPr="005E7D9C" w:rsidRDefault="00691C77" w:rsidP="00691C77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5E7D9C">
              <w:rPr>
                <w:rFonts w:eastAsia="標楷體" w:hAnsi="標楷體" w:hint="eastAsia"/>
                <w:b/>
                <w:szCs w:val="24"/>
              </w:rPr>
              <w:t>30%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77" w:rsidRPr="00691C77" w:rsidRDefault="00691C77" w:rsidP="00691C77">
            <w:pPr>
              <w:spacing w:line="2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691C77">
              <w:rPr>
                <w:rFonts w:ascii="標楷體" w:eastAsia="標楷體" w:hAnsi="標楷體" w:cs="Arial" w:hint="eastAsia"/>
                <w:szCs w:val="24"/>
              </w:rPr>
              <w:t>1.整體規劃配置符合需求。</w:t>
            </w:r>
          </w:p>
          <w:p w:rsidR="00691C77" w:rsidRPr="00691C77" w:rsidRDefault="00691C77" w:rsidP="00691C77">
            <w:pPr>
              <w:spacing w:line="2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691C77">
              <w:rPr>
                <w:rFonts w:ascii="標楷體" w:eastAsia="標楷體" w:hAnsi="標楷體" w:cs="Arial" w:hint="eastAsia"/>
                <w:szCs w:val="24"/>
              </w:rPr>
              <w:t>2.建築空間模式、主體工程設計理念及圖面表現（含結構、設備、綠建築與無障礙設施…等系統）</w:t>
            </w:r>
          </w:p>
          <w:p w:rsidR="00691C77" w:rsidRPr="00691C77" w:rsidRDefault="00691C77" w:rsidP="00691C77">
            <w:pPr>
              <w:spacing w:line="2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691C77">
              <w:rPr>
                <w:rFonts w:ascii="標楷體" w:eastAsia="標楷體" w:hAnsi="標楷體" w:cs="Arial" w:hint="eastAsia"/>
                <w:szCs w:val="24"/>
              </w:rPr>
              <w:t>3.符合教育與安全衛生需求。</w:t>
            </w:r>
          </w:p>
          <w:p w:rsidR="00691C77" w:rsidRPr="00691C77" w:rsidRDefault="00691C77" w:rsidP="00691C77">
            <w:pPr>
              <w:spacing w:line="2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691C77">
              <w:rPr>
                <w:rFonts w:ascii="標楷體" w:eastAsia="標楷體" w:hAnsi="標楷體" w:cs="Arial" w:hint="eastAsia"/>
                <w:szCs w:val="24"/>
              </w:rPr>
              <w:t>4.了解本校未來參與設計執行理念。</w:t>
            </w:r>
          </w:p>
          <w:p w:rsidR="00691C77" w:rsidRPr="00691C77" w:rsidRDefault="00691C77" w:rsidP="00691C77">
            <w:pPr>
              <w:spacing w:line="2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691C77">
              <w:rPr>
                <w:rFonts w:ascii="標楷體" w:eastAsia="標楷體" w:hAnsi="標楷體" w:cs="Arial" w:hint="eastAsia"/>
                <w:szCs w:val="24"/>
              </w:rPr>
              <w:t>5.建築外觀融合本校及社區環境意象，新穎</w:t>
            </w:r>
            <w:proofErr w:type="gramStart"/>
            <w:r w:rsidRPr="00691C77">
              <w:rPr>
                <w:rFonts w:ascii="標楷體" w:eastAsia="標楷體" w:hAnsi="標楷體" w:cs="Arial" w:hint="eastAsia"/>
                <w:szCs w:val="24"/>
              </w:rPr>
              <w:t>且富境教</w:t>
            </w:r>
            <w:proofErr w:type="gramEnd"/>
            <w:r w:rsidRPr="00691C77">
              <w:rPr>
                <w:rFonts w:ascii="標楷體" w:eastAsia="標楷體" w:hAnsi="標楷體" w:cs="Arial" w:hint="eastAsia"/>
                <w:szCs w:val="24"/>
              </w:rPr>
              <w:t>功能。</w:t>
            </w:r>
          </w:p>
          <w:p w:rsidR="00691C77" w:rsidRPr="00691C77" w:rsidRDefault="00691C77" w:rsidP="00691C77">
            <w:pPr>
              <w:spacing w:line="2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691C77">
              <w:rPr>
                <w:rFonts w:ascii="標楷體" w:eastAsia="標楷體" w:hAnsi="標楷體" w:cs="Arial" w:hint="eastAsia"/>
                <w:szCs w:val="24"/>
              </w:rPr>
              <w:t>6.符合綠建築。</w:t>
            </w:r>
          </w:p>
        </w:tc>
        <w:tc>
          <w:tcPr>
            <w:tcW w:w="5670" w:type="dxa"/>
          </w:tcPr>
          <w:p w:rsidR="00691C77" w:rsidRPr="00935AF0" w:rsidRDefault="00691C77" w:rsidP="00691C77">
            <w:pPr>
              <w:adjustRightInd w:val="0"/>
              <w:snapToGrid w:val="0"/>
              <w:spacing w:line="360" w:lineRule="exact"/>
              <w:textAlignment w:val="baseline"/>
              <w:rPr>
                <w:rFonts w:ascii="標楷體" w:eastAsia="標楷體" w:hAnsi="標楷體" w:cs="Arial"/>
                <w:b/>
                <w:color w:val="000000"/>
                <w:szCs w:val="20"/>
              </w:rPr>
            </w:pPr>
          </w:p>
        </w:tc>
      </w:tr>
      <w:tr w:rsidR="00691C77" w:rsidRPr="00935AF0" w:rsidTr="00691C77">
        <w:trPr>
          <w:cantSplit/>
          <w:trHeight w:val="60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691C77" w:rsidRPr="005E7D9C" w:rsidRDefault="00691C77" w:rsidP="00691C77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5E7D9C">
              <w:rPr>
                <w:rFonts w:eastAsia="標楷體" w:hint="eastAsia"/>
                <w:b/>
                <w:szCs w:val="24"/>
              </w:rPr>
              <w:t>價格分析</w:t>
            </w:r>
          </w:p>
          <w:p w:rsidR="00691C77" w:rsidRPr="005E7D9C" w:rsidRDefault="00691C77" w:rsidP="00691C77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5E7D9C">
              <w:rPr>
                <w:rFonts w:eastAsia="標楷體" w:hint="eastAsia"/>
                <w:b/>
                <w:szCs w:val="24"/>
              </w:rPr>
              <w:t>20%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77" w:rsidRPr="00691C77" w:rsidRDefault="00691C77" w:rsidP="00691C77">
            <w:pPr>
              <w:spacing w:line="2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691C77">
              <w:rPr>
                <w:rFonts w:ascii="標楷體" w:eastAsia="標楷體" w:hAnsi="標楷體" w:cs="Arial" w:hint="eastAsia"/>
                <w:szCs w:val="24"/>
              </w:rPr>
              <w:t>價格之合理性</w:t>
            </w:r>
            <w:r w:rsidR="00FB14DA" w:rsidRPr="00FB14DA">
              <w:rPr>
                <w:rFonts w:ascii="標楷體" w:eastAsia="標楷體" w:hAnsi="標楷體" w:hint="eastAsia"/>
                <w:b/>
                <w:color w:val="FF0000"/>
                <w:sz w:val="22"/>
              </w:rPr>
              <w:t>（包含委託技術服務及工程經費預算分析）</w:t>
            </w:r>
            <w:r w:rsidRPr="00691C77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  <w:tc>
          <w:tcPr>
            <w:tcW w:w="5670" w:type="dxa"/>
          </w:tcPr>
          <w:p w:rsidR="00691C77" w:rsidRPr="00935AF0" w:rsidRDefault="00691C77" w:rsidP="00691C77">
            <w:pPr>
              <w:adjustRightInd w:val="0"/>
              <w:snapToGrid w:val="0"/>
              <w:spacing w:line="360" w:lineRule="exact"/>
              <w:textAlignment w:val="baseline"/>
              <w:rPr>
                <w:rFonts w:ascii="標楷體" w:eastAsia="標楷體" w:hAnsi="標楷體" w:cs="Arial"/>
                <w:b/>
                <w:color w:val="000000"/>
                <w:szCs w:val="20"/>
              </w:rPr>
            </w:pPr>
          </w:p>
        </w:tc>
      </w:tr>
      <w:tr w:rsidR="00691C77" w:rsidRPr="00935AF0" w:rsidTr="00691C77">
        <w:trPr>
          <w:cantSplit/>
          <w:trHeight w:val="846"/>
          <w:jc w:val="center"/>
        </w:trPr>
        <w:tc>
          <w:tcPr>
            <w:tcW w:w="1555" w:type="dxa"/>
            <w:shd w:val="clear" w:color="auto" w:fill="auto"/>
          </w:tcPr>
          <w:p w:rsidR="00691C77" w:rsidRPr="005E7D9C" w:rsidRDefault="00691C77" w:rsidP="00691C77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5E7D9C">
              <w:rPr>
                <w:rFonts w:eastAsia="標楷體" w:hint="eastAsia"/>
                <w:b/>
                <w:szCs w:val="24"/>
              </w:rPr>
              <w:lastRenderedPageBreak/>
              <w:t>相關之校園景觀規劃設計要項之掌握</w:t>
            </w:r>
          </w:p>
          <w:p w:rsidR="00691C77" w:rsidRPr="005E7D9C" w:rsidRDefault="00691C77" w:rsidP="00691C77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5E7D9C">
              <w:rPr>
                <w:rFonts w:eastAsia="標楷體" w:hint="eastAsia"/>
                <w:b/>
                <w:szCs w:val="24"/>
              </w:rPr>
              <w:t>15%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77" w:rsidRPr="00691C77" w:rsidRDefault="00691C77" w:rsidP="00691C77">
            <w:pPr>
              <w:spacing w:line="2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691C77">
              <w:rPr>
                <w:rFonts w:ascii="標楷體" w:eastAsia="標楷體" w:hAnsi="標楷體" w:cs="Arial" w:hint="eastAsia"/>
                <w:szCs w:val="24"/>
              </w:rPr>
              <w:t>1.設計作品之創意性及符合在地文化、生活美學程度。</w:t>
            </w:r>
          </w:p>
          <w:p w:rsidR="00691C77" w:rsidRPr="00691C77" w:rsidRDefault="00691C77" w:rsidP="00691C77">
            <w:pPr>
              <w:spacing w:line="24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691C77">
              <w:rPr>
                <w:rFonts w:ascii="標楷體" w:eastAsia="標楷體" w:hAnsi="標楷體" w:cs="Arial" w:hint="eastAsia"/>
                <w:szCs w:val="24"/>
              </w:rPr>
              <w:t>2.動線規劃設計圖說。</w:t>
            </w:r>
          </w:p>
          <w:p w:rsidR="00691C77" w:rsidRPr="00691C77" w:rsidRDefault="00691C77" w:rsidP="00691C7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91C77">
              <w:rPr>
                <w:rFonts w:ascii="標楷體" w:eastAsia="標楷體" w:hAnsi="標楷體" w:cs="Arial" w:hint="eastAsia"/>
                <w:szCs w:val="24"/>
              </w:rPr>
              <w:t>3.公共藝術設置之建議與融合。</w:t>
            </w:r>
          </w:p>
        </w:tc>
        <w:tc>
          <w:tcPr>
            <w:tcW w:w="5670" w:type="dxa"/>
            <w:vAlign w:val="center"/>
          </w:tcPr>
          <w:p w:rsidR="00691C77" w:rsidRPr="007267CB" w:rsidRDefault="00691C77" w:rsidP="00691C77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</w:tc>
      </w:tr>
      <w:tr w:rsidR="00691C77" w:rsidRPr="00935AF0" w:rsidTr="00691C77">
        <w:trPr>
          <w:cantSplit/>
          <w:trHeight w:val="586"/>
          <w:jc w:val="center"/>
        </w:trPr>
        <w:tc>
          <w:tcPr>
            <w:tcW w:w="1555" w:type="dxa"/>
            <w:vAlign w:val="center"/>
          </w:tcPr>
          <w:p w:rsidR="00691C77" w:rsidRPr="005E7D9C" w:rsidRDefault="00691C77" w:rsidP="00691C77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5E7D9C">
              <w:rPr>
                <w:rFonts w:eastAsia="標楷體" w:hint="eastAsia"/>
                <w:b/>
                <w:szCs w:val="24"/>
              </w:rPr>
              <w:t>簡報與答</w:t>
            </w:r>
            <w:proofErr w:type="gramStart"/>
            <w:r w:rsidRPr="005E7D9C">
              <w:rPr>
                <w:rFonts w:eastAsia="標楷體" w:hint="eastAsia"/>
                <w:b/>
                <w:szCs w:val="24"/>
              </w:rPr>
              <w:t>詢</w:t>
            </w:r>
            <w:proofErr w:type="gramEnd"/>
            <w:r w:rsidRPr="005E7D9C">
              <w:rPr>
                <w:rFonts w:eastAsia="標楷體" w:hint="eastAsia"/>
                <w:b/>
                <w:szCs w:val="24"/>
              </w:rPr>
              <w:t>5%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77" w:rsidRPr="00691C77" w:rsidRDefault="00691C77" w:rsidP="00691C7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91C77">
              <w:rPr>
                <w:rFonts w:ascii="標楷體" w:eastAsia="標楷體" w:hAnsi="標楷體" w:hint="eastAsia"/>
                <w:szCs w:val="24"/>
              </w:rPr>
              <w:t>說明</w:t>
            </w:r>
            <w:proofErr w:type="gramStart"/>
            <w:r w:rsidRPr="00691C77">
              <w:rPr>
                <w:rFonts w:ascii="標楷體" w:eastAsia="標楷體" w:hAnsi="標楷體" w:hint="eastAsia"/>
                <w:szCs w:val="24"/>
              </w:rPr>
              <w:t>清楚，</w:t>
            </w:r>
            <w:proofErr w:type="gramEnd"/>
            <w:r w:rsidRPr="00691C77">
              <w:rPr>
                <w:rFonts w:ascii="標楷體" w:eastAsia="標楷體" w:hAnsi="標楷體" w:hint="eastAsia"/>
                <w:szCs w:val="24"/>
              </w:rPr>
              <w:t>回答內容具體可行。</w:t>
            </w:r>
          </w:p>
        </w:tc>
        <w:tc>
          <w:tcPr>
            <w:tcW w:w="5670" w:type="dxa"/>
            <w:vAlign w:val="center"/>
          </w:tcPr>
          <w:p w:rsidR="00691C77" w:rsidRPr="007267CB" w:rsidRDefault="00691C77" w:rsidP="00691C77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7267CB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此欄位無須填寫</w:t>
            </w:r>
          </w:p>
        </w:tc>
      </w:tr>
      <w:tr w:rsidR="00691C77" w:rsidRPr="00935AF0" w:rsidTr="00691C77">
        <w:trPr>
          <w:cantSplit/>
          <w:trHeight w:val="846"/>
          <w:jc w:val="center"/>
        </w:trPr>
        <w:tc>
          <w:tcPr>
            <w:tcW w:w="1555" w:type="dxa"/>
            <w:vAlign w:val="center"/>
          </w:tcPr>
          <w:p w:rsidR="00691C77" w:rsidRPr="00FB14DA" w:rsidRDefault="00691C77" w:rsidP="00FB14DA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B14DA">
              <w:rPr>
                <w:rFonts w:ascii="標楷體" w:eastAsia="標楷體" w:hAnsi="標楷體" w:hint="eastAsia"/>
                <w:b/>
                <w:szCs w:val="24"/>
              </w:rPr>
              <w:t>廠商企業社會責任(CSR)指標5%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77" w:rsidRPr="00FB14DA" w:rsidRDefault="00691C77" w:rsidP="00691C7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14DA">
              <w:rPr>
                <w:rFonts w:ascii="標楷體" w:eastAsia="標楷體" w:hAnsi="標楷體" w:hint="eastAsia"/>
                <w:szCs w:val="24"/>
              </w:rPr>
              <w:t>廠商企業社會責任(CSR)指標</w:t>
            </w:r>
          </w:p>
          <w:p w:rsidR="00FB14DA" w:rsidRPr="00FB14DA" w:rsidRDefault="00FB14DA" w:rsidP="00691C7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14DA">
              <w:rPr>
                <w:rFonts w:ascii="標楷體" w:eastAsia="標楷體" w:hAnsi="標楷體" w:hint="eastAsia"/>
                <w:b/>
                <w:color w:val="FF0000"/>
                <w:szCs w:val="24"/>
              </w:rPr>
              <w:t>(需檢附證明文件供機關審查)</w:t>
            </w:r>
          </w:p>
        </w:tc>
        <w:tc>
          <w:tcPr>
            <w:tcW w:w="5670" w:type="dxa"/>
            <w:vAlign w:val="center"/>
          </w:tcPr>
          <w:p w:rsidR="00691C77" w:rsidRPr="007267CB" w:rsidRDefault="00691C77" w:rsidP="00691C77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</w:tc>
      </w:tr>
    </w:tbl>
    <w:p w:rsidR="00935AF0" w:rsidRPr="00D765F5" w:rsidRDefault="00D765F5" w:rsidP="000C4C0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D765F5">
        <w:rPr>
          <w:rFonts w:ascii="標楷體" w:eastAsia="標楷體" w:hAnsi="標楷體" w:hint="eastAsia"/>
          <w:b/>
          <w:sz w:val="28"/>
          <w:szCs w:val="28"/>
        </w:rPr>
        <w:t>說明:</w:t>
      </w:r>
    </w:p>
    <w:p w:rsidR="00D765F5" w:rsidRPr="000C4C04" w:rsidRDefault="00D765F5" w:rsidP="000C4C04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0C4C04">
        <w:rPr>
          <w:rFonts w:ascii="標楷體" w:eastAsia="標楷體" w:hAnsi="標楷體" w:hint="eastAsia"/>
          <w:b/>
          <w:color w:val="FF0000"/>
          <w:sz w:val="28"/>
          <w:szCs w:val="28"/>
        </w:rPr>
        <w:t>為利評</w:t>
      </w:r>
      <w:r w:rsidR="005E7D9C">
        <w:rPr>
          <w:rFonts w:ascii="標楷體" w:eastAsia="標楷體" w:hAnsi="標楷體" w:hint="eastAsia"/>
          <w:b/>
          <w:color w:val="FF0000"/>
          <w:sz w:val="28"/>
          <w:szCs w:val="28"/>
        </w:rPr>
        <w:t>選</w:t>
      </w:r>
      <w:r w:rsidRPr="000C4C04">
        <w:rPr>
          <w:rFonts w:ascii="標楷體" w:eastAsia="標楷體" w:hAnsi="標楷體" w:hint="eastAsia"/>
          <w:b/>
          <w:color w:val="FF0000"/>
          <w:sz w:val="28"/>
          <w:szCs w:val="28"/>
        </w:rPr>
        <w:t>委員快速了解服務</w:t>
      </w:r>
      <w:r w:rsidR="005E7D9C">
        <w:rPr>
          <w:rFonts w:ascii="標楷體" w:eastAsia="標楷體" w:hAnsi="標楷體" w:hint="eastAsia"/>
          <w:b/>
          <w:color w:val="FF0000"/>
          <w:sz w:val="28"/>
          <w:szCs w:val="28"/>
        </w:rPr>
        <w:t>建議</w:t>
      </w:r>
      <w:r w:rsidRPr="000C4C04">
        <w:rPr>
          <w:rFonts w:ascii="標楷體" w:eastAsia="標楷體" w:hAnsi="標楷體" w:hint="eastAsia"/>
          <w:b/>
          <w:color w:val="FF0000"/>
          <w:sz w:val="28"/>
          <w:szCs w:val="28"/>
        </w:rPr>
        <w:t>書之重點，廠商可將評</w:t>
      </w:r>
      <w:r w:rsidR="005E7D9C">
        <w:rPr>
          <w:rFonts w:ascii="標楷體" w:eastAsia="標楷體" w:hAnsi="標楷體" w:hint="eastAsia"/>
          <w:b/>
          <w:color w:val="FF0000"/>
          <w:sz w:val="28"/>
          <w:szCs w:val="28"/>
        </w:rPr>
        <w:t>選</w:t>
      </w:r>
      <w:r w:rsidRPr="000C4C04">
        <w:rPr>
          <w:rFonts w:ascii="標楷體" w:eastAsia="標楷體" w:hAnsi="標楷體" w:hint="eastAsia"/>
          <w:b/>
          <w:color w:val="FF0000"/>
          <w:sz w:val="28"/>
          <w:szCs w:val="28"/>
        </w:rPr>
        <w:t>內容作條列式陳述。</w:t>
      </w:r>
    </w:p>
    <w:p w:rsidR="00D765F5" w:rsidRPr="000C4C04" w:rsidRDefault="00D765F5" w:rsidP="000C4C04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0C4C04">
        <w:rPr>
          <w:rFonts w:ascii="標楷體" w:eastAsia="標楷體" w:hAnsi="標楷體" w:hint="eastAsia"/>
          <w:b/>
          <w:color w:val="FF0000"/>
          <w:sz w:val="28"/>
          <w:szCs w:val="28"/>
        </w:rPr>
        <w:t>若是版面不足，可自行擴充。</w:t>
      </w:r>
    </w:p>
    <w:p w:rsidR="000C4C04" w:rsidRDefault="000C4C04" w:rsidP="000C4C04">
      <w:pPr>
        <w:pStyle w:val="a3"/>
        <w:spacing w:line="360" w:lineRule="exact"/>
        <w:ind w:leftChars="0" w:left="360"/>
        <w:rPr>
          <w:rFonts w:ascii="標楷體" w:eastAsia="標楷體" w:hAnsi="標楷體"/>
          <w:b/>
          <w:sz w:val="28"/>
          <w:szCs w:val="28"/>
        </w:rPr>
      </w:pPr>
    </w:p>
    <w:p w:rsidR="000C4C04" w:rsidRDefault="000C4C04" w:rsidP="000C4C04">
      <w:pPr>
        <w:pStyle w:val="a3"/>
        <w:spacing w:line="360" w:lineRule="exact"/>
        <w:ind w:leftChars="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投標廠商名稱:</w:t>
      </w:r>
    </w:p>
    <w:p w:rsidR="000C4C04" w:rsidRDefault="000C4C04" w:rsidP="000C4C04">
      <w:pPr>
        <w:pStyle w:val="a3"/>
        <w:spacing w:line="360" w:lineRule="exact"/>
        <w:ind w:leftChars="0" w:left="360"/>
        <w:rPr>
          <w:rFonts w:ascii="標楷體" w:eastAsia="標楷體" w:hAnsi="標楷體"/>
          <w:b/>
          <w:sz w:val="28"/>
          <w:szCs w:val="28"/>
        </w:rPr>
      </w:pPr>
    </w:p>
    <w:p w:rsidR="000C4C04" w:rsidRPr="00D765F5" w:rsidRDefault="000C4C04" w:rsidP="000C4C04">
      <w:pPr>
        <w:pStyle w:val="a3"/>
        <w:spacing w:line="360" w:lineRule="exact"/>
        <w:ind w:leftChars="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負責人:</w:t>
      </w:r>
    </w:p>
    <w:sectPr w:rsidR="000C4C04" w:rsidRPr="00D765F5" w:rsidSect="000C4C04">
      <w:pgSz w:w="11906" w:h="16838"/>
      <w:pgMar w:top="1440" w:right="70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AF8" w:rsidRDefault="00040AF8" w:rsidP="000B4A9B">
      <w:r>
        <w:separator/>
      </w:r>
    </w:p>
  </w:endnote>
  <w:endnote w:type="continuationSeparator" w:id="0">
    <w:p w:rsidR="00040AF8" w:rsidRDefault="00040AF8" w:rsidP="000B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AF8" w:rsidRDefault="00040AF8" w:rsidP="000B4A9B">
      <w:r>
        <w:separator/>
      </w:r>
    </w:p>
  </w:footnote>
  <w:footnote w:type="continuationSeparator" w:id="0">
    <w:p w:rsidR="00040AF8" w:rsidRDefault="00040AF8" w:rsidP="000B4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1D20"/>
    <w:multiLevelType w:val="multilevel"/>
    <w:tmpl w:val="2E96B3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/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5A541A7"/>
    <w:multiLevelType w:val="hybridMultilevel"/>
    <w:tmpl w:val="DC4E268E"/>
    <w:lvl w:ilvl="0" w:tplc="1FB6E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F0"/>
    <w:rsid w:val="00040AF8"/>
    <w:rsid w:val="0007161E"/>
    <w:rsid w:val="000B4A9B"/>
    <w:rsid w:val="000C4C04"/>
    <w:rsid w:val="00173110"/>
    <w:rsid w:val="002E32A2"/>
    <w:rsid w:val="005E7D9C"/>
    <w:rsid w:val="00691C77"/>
    <w:rsid w:val="00811D0A"/>
    <w:rsid w:val="00935AF0"/>
    <w:rsid w:val="009D3A31"/>
    <w:rsid w:val="009F3069"/>
    <w:rsid w:val="00C93FFB"/>
    <w:rsid w:val="00D765F5"/>
    <w:rsid w:val="00FB14DA"/>
    <w:rsid w:val="00FF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F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B4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4A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4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4A9B"/>
    <w:rPr>
      <w:sz w:val="20"/>
      <w:szCs w:val="20"/>
    </w:rPr>
  </w:style>
  <w:style w:type="paragraph" w:customStyle="1" w:styleId="Default">
    <w:name w:val="Default"/>
    <w:rsid w:val="000B4A9B"/>
    <w:pPr>
      <w:widowControl w:val="0"/>
      <w:autoSpaceDE w:val="0"/>
      <w:autoSpaceDN w:val="0"/>
      <w:adjustRightInd w:val="0"/>
    </w:pPr>
    <w:rPr>
      <w:rFonts w:ascii="標楷體" w:eastAsia="標楷體" w:hAnsi="MS Serif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F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B4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4A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4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4A9B"/>
    <w:rPr>
      <w:sz w:val="20"/>
      <w:szCs w:val="20"/>
    </w:rPr>
  </w:style>
  <w:style w:type="paragraph" w:customStyle="1" w:styleId="Default">
    <w:name w:val="Default"/>
    <w:rsid w:val="000B4A9B"/>
    <w:pPr>
      <w:widowControl w:val="0"/>
      <w:autoSpaceDE w:val="0"/>
      <w:autoSpaceDN w:val="0"/>
      <w:adjustRightInd w:val="0"/>
    </w:pPr>
    <w:rPr>
      <w:rFonts w:ascii="標楷體" w:eastAsia="標楷體" w:hAnsi="MS Serif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s</cp:lastModifiedBy>
  <cp:revision>9</cp:revision>
  <dcterms:created xsi:type="dcterms:W3CDTF">2022-02-13T02:35:00Z</dcterms:created>
  <dcterms:modified xsi:type="dcterms:W3CDTF">2024-02-22T04:12:00Z</dcterms:modified>
</cp:coreProperties>
</file>